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r>
        <w:rPr>
          <w:rFonts w:hint="default" w:ascii="Times New Roman" w:hAnsi="Times New Roman" w:cs="Times New Roman"/>
          <w:b/>
          <w:bCs/>
        </w:rPr>
        <w:t>Function:</w:t>
      </w:r>
      <w:r>
        <w:rPr>
          <w:rFonts w:hint="default" w:ascii="Times New Roman" w:hAnsi="Times New Roman" w:cs="Times New Roman"/>
        </w:rPr>
        <w:t xml:space="preserve"> A method used to analyze the correlation between two sets of data and compare the consistency of two sets of data, such as analyzing the relationship between microbial species composition and the environment.</w:t>
      </w:r>
    </w:p>
    <w:p>
      <w:pPr>
        <w:rPr>
          <w:rFonts w:hint="default" w:ascii="Times New Roman" w:hAnsi="Times New Roman" w:cs="Times New Roman"/>
        </w:rPr>
      </w:pPr>
    </w:p>
    <w:p>
      <w:pPr>
        <w:rPr>
          <w:rFonts w:hint="default" w:ascii="Times New Roman" w:hAnsi="Times New Roman" w:cs="Times New Roman" w:eastAsiaTheme="minorEastAsia"/>
          <w:b/>
          <w:bCs/>
          <w:lang w:val="en-US" w:eastAsia="zh-CN"/>
        </w:rPr>
      </w:pPr>
      <w:r>
        <w:rPr>
          <w:rFonts w:hint="default" w:ascii="Times New Roman" w:hAnsi="Times New Roman" w:cs="Times New Roman"/>
          <w:b/>
          <w:bCs/>
          <w:lang w:val="en-US" w:eastAsia="zh-CN"/>
        </w:rPr>
        <w:t>Input:</w:t>
      </w:r>
    </w:p>
    <w:p>
      <w:pPr>
        <w:rPr>
          <w:rFonts w:hint="default" w:ascii="Times New Roman" w:hAnsi="Times New Roman" w:cs="Times New Roman"/>
        </w:rPr>
      </w:pPr>
      <w:r>
        <w:rPr>
          <w:rFonts w:hint="default" w:ascii="Times New Roman" w:hAnsi="Times New Roman" w:cs="Times New Roman"/>
        </w:rPr>
        <w:t>1. The file must be a tab-separated .txt format file with a header. The name of the table consists of letters, numbers, and underscores, and no suffix name is allowed.</w:t>
      </w:r>
    </w:p>
    <w:p>
      <w:pPr>
        <w:rPr>
          <w:rFonts w:hint="default" w:ascii="Times New Roman" w:hAnsi="Times New Roman" w:cs="Times New Roman"/>
        </w:rPr>
      </w:pPr>
      <w:r>
        <w:rPr>
          <w:rFonts w:hint="default" w:ascii="Times New Roman" w:hAnsi="Times New Roman" w:cs="Times New Roman"/>
        </w:rPr>
        <w:t>2. Input two sets of data for analysis in sequence.</w:t>
      </w:r>
      <w:r>
        <w:rPr>
          <w:rFonts w:hint="default" w:ascii="Times New Roman" w:hAnsi="Times New Roman" w:cs="Times New Roman"/>
          <w:b/>
          <w:bCs/>
        </w:rPr>
        <w:t xml:space="preserve"> File 1 defaults to the main orthogonal axis data</w:t>
      </w:r>
      <w:r>
        <w:rPr>
          <w:rFonts w:hint="default" w:ascii="Times New Roman" w:hAnsi="Times New Roman" w:cs="Times New Roman"/>
        </w:rPr>
        <w:t xml:space="preserve">. </w:t>
      </w:r>
      <w:r>
        <w:rPr>
          <w:rFonts w:hint="default" w:ascii="Times New Roman" w:hAnsi="Times New Roman" w:cs="Times New Roman"/>
          <w:b/>
          <w:bCs/>
        </w:rPr>
        <w:t>The first row</w:t>
      </w:r>
      <w:r>
        <w:rPr>
          <w:rFonts w:hint="default" w:ascii="Times New Roman" w:hAnsi="Times New Roman" w:cs="Times New Roman"/>
        </w:rPr>
        <w:t xml:space="preserve"> of the data table is sample information, </w:t>
      </w:r>
      <w:r>
        <w:rPr>
          <w:rFonts w:hint="default" w:ascii="Times New Roman" w:hAnsi="Times New Roman" w:cs="Times New Roman"/>
          <w:b/>
          <w:bCs/>
        </w:rPr>
        <w:t>the first column</w:t>
      </w:r>
      <w:r>
        <w:rPr>
          <w:rFonts w:hint="default" w:ascii="Times New Roman" w:hAnsi="Times New Roman" w:cs="Times New Roman"/>
        </w:rPr>
        <w:t xml:space="preserve"> is specific parameters, such as species, genes, etc., and the second column is the abundance of species or genes in the corresponding sample.</w:t>
      </w:r>
    </w:p>
    <w:p>
      <w:pPr>
        <w:rPr>
          <w:rFonts w:hint="default" w:ascii="Times New Roman" w:hAnsi="Times New Roman" w:cs="Times New Roman"/>
        </w:rPr>
      </w:pPr>
      <w:r>
        <w:rPr>
          <w:rFonts w:hint="default" w:ascii="Times New Roman" w:hAnsi="Times New Roman" w:cs="Times New Roman"/>
        </w:rPr>
        <w:t>3. Enter the grouping data. The first column of the data table is the sample name, and the second column is the group to which the sample belongs.</w:t>
      </w:r>
    </w:p>
    <w:p>
      <w:pPr>
        <w:rPr>
          <w:rFonts w:hint="default" w:ascii="Times New Roman" w:hAnsi="Times New Roman" w:cs="Times New Roman"/>
          <w:lang w:val="en-US" w:eastAsia="zh-CN"/>
        </w:rPr>
      </w:pPr>
      <w:r>
        <w:rPr>
          <w:rFonts w:hint="default" w:ascii="Times New Roman" w:hAnsi="Times New Roman" w:cs="Times New Roman"/>
          <w:lang w:val="en-US" w:eastAsia="zh-CN"/>
        </w:rPr>
        <w:t>Examples:</w:t>
      </w:r>
    </w:p>
    <w:p>
      <w:pPr>
        <w:widowControl w:val="0"/>
        <w:numPr>
          <w:ilvl w:val="0"/>
          <w:numId w:val="0"/>
        </w:numPr>
        <w:ind w:leftChars="0"/>
        <w:jc w:val="both"/>
        <w:rPr>
          <w:rFonts w:hint="default" w:ascii="Times New Roman" w:hAnsi="Times New Roman" w:cs="Times New Roman"/>
          <w:lang w:val="en-US" w:eastAsia="zh-CN"/>
        </w:rPr>
      </w:pPr>
      <w:r>
        <w:rPr>
          <w:rFonts w:hint="default" w:ascii="Times New Roman" w:hAnsi="Times New Roman" w:cs="Times New Roman"/>
          <w:lang w:val="en-US" w:eastAsia="zh-CN"/>
        </w:rPr>
        <w:t>File 1</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drawing>
          <wp:inline distT="0" distB="0" distL="114300" distR="114300">
            <wp:extent cx="5272405" cy="1326515"/>
            <wp:effectExtent l="0" t="0" r="444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72405" cy="1326515"/>
                    </a:xfrm>
                    <a:prstGeom prst="rect">
                      <a:avLst/>
                    </a:prstGeom>
                    <a:noFill/>
                    <a:ln>
                      <a:noFill/>
                    </a:ln>
                  </pic:spPr>
                </pic:pic>
              </a:graphicData>
            </a:graphic>
          </wp:inline>
        </w:drawing>
      </w:r>
    </w:p>
    <w:p>
      <w:pPr>
        <w:widowControl w:val="0"/>
        <w:numPr>
          <w:ilvl w:val="0"/>
          <w:numId w:val="0"/>
        </w:numPr>
        <w:ind w:leftChars="0"/>
        <w:jc w:val="both"/>
        <w:rPr>
          <w:rFonts w:hint="default" w:ascii="Times New Roman" w:hAnsi="Times New Roman" w:cs="Times New Roman"/>
          <w:lang w:val="en-US" w:eastAsia="zh-CN"/>
        </w:rPr>
      </w:pPr>
      <w:r>
        <w:rPr>
          <w:rFonts w:hint="default" w:ascii="Times New Roman" w:hAnsi="Times New Roman" w:cs="Times New Roman"/>
          <w:lang w:val="en-US" w:eastAsia="zh-CN"/>
        </w:rPr>
        <w:t>File 2</w:t>
      </w:r>
    </w:p>
    <w:p>
      <w:pPr>
        <w:widowControl w:val="0"/>
        <w:numPr>
          <w:ilvl w:val="0"/>
          <w:numId w:val="0"/>
        </w:numPr>
        <w:ind w:leftChars="0"/>
        <w:jc w:val="both"/>
        <w:rPr>
          <w:rFonts w:hint="default" w:ascii="Times New Roman" w:hAnsi="Times New Roman" w:cs="Times New Roman"/>
          <w:lang w:val="en-US" w:eastAsia="zh-CN"/>
        </w:rPr>
      </w:pPr>
      <w:r>
        <w:rPr>
          <w:rFonts w:hint="default" w:ascii="Times New Roman" w:hAnsi="Times New Roman" w:cs="Times New Roman"/>
        </w:rPr>
        <w:drawing>
          <wp:inline distT="0" distB="0" distL="114300" distR="114300">
            <wp:extent cx="5272405" cy="1283970"/>
            <wp:effectExtent l="0" t="0" r="444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72405" cy="1283970"/>
                    </a:xfrm>
                    <a:prstGeom prst="rect">
                      <a:avLst/>
                    </a:prstGeom>
                    <a:noFill/>
                    <a:ln>
                      <a:noFill/>
                    </a:ln>
                  </pic:spPr>
                </pic:pic>
              </a:graphicData>
            </a:graphic>
          </wp:inline>
        </w:drawing>
      </w:r>
    </w:p>
    <w:p>
      <w:pPr>
        <w:widowControl w:val="0"/>
        <w:numPr>
          <w:ilvl w:val="0"/>
          <w:numId w:val="0"/>
        </w:numPr>
        <w:ind w:leftChars="0"/>
        <w:jc w:val="both"/>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Groups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drawing>
          <wp:inline distT="0" distB="0" distL="114300" distR="114300">
            <wp:extent cx="728345" cy="1739265"/>
            <wp:effectExtent l="0" t="0" r="1460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728345" cy="1739265"/>
                    </a:xfrm>
                    <a:prstGeom prst="rect">
                      <a:avLst/>
                    </a:prstGeom>
                    <a:noFill/>
                    <a:ln>
                      <a:noFill/>
                    </a:ln>
                  </pic:spPr>
                </pic:pic>
              </a:graphicData>
            </a:graphic>
          </wp:inline>
        </w:drawing>
      </w:r>
    </w:p>
    <w:p>
      <w:pPr>
        <w:widowControl w:val="0"/>
        <w:numPr>
          <w:ilvl w:val="0"/>
          <w:numId w:val="0"/>
        </w:numPr>
        <w:ind w:leftChars="0"/>
        <w:jc w:val="both"/>
        <w:rPr>
          <w:rFonts w:hint="default" w:ascii="Times New Roman" w:hAnsi="Times New Roman" w:cs="Times New Roman"/>
        </w:rPr>
      </w:pPr>
    </w:p>
    <w:p>
      <w:pPr>
        <w:widowControl w:val="0"/>
        <w:numPr>
          <w:ilvl w:val="0"/>
          <w:numId w:val="0"/>
        </w:numPr>
        <w:ind w:leftChars="0"/>
        <w:jc w:val="both"/>
        <w:rPr>
          <w:rFonts w:hint="default" w:ascii="Times New Roman" w:hAnsi="Times New Roman" w:cs="Times New Roman"/>
          <w:b/>
          <w:bCs/>
        </w:rPr>
      </w:pPr>
      <w:r>
        <w:rPr>
          <w:rFonts w:hint="default" w:ascii="Times New Roman" w:hAnsi="Times New Roman" w:cs="Times New Roman"/>
          <w:b/>
          <w:bCs/>
          <w:lang w:val="en-US" w:eastAsia="zh-CN"/>
        </w:rPr>
        <w:t>P</w:t>
      </w:r>
      <w:r>
        <w:rPr>
          <w:rFonts w:hint="default" w:ascii="Times New Roman" w:hAnsi="Times New Roman" w:cs="Times New Roman"/>
          <w:b/>
          <w:bCs/>
        </w:rPr>
        <w:t>arameter:</w:t>
      </w:r>
    </w:p>
    <w:p>
      <w:pPr>
        <w:widowControl w:val="0"/>
        <w:numPr>
          <w:ilvl w:val="0"/>
          <w:numId w:val="0"/>
        </w:numPr>
        <w:ind w:leftChars="0"/>
        <w:jc w:val="both"/>
        <w:rPr>
          <w:rFonts w:hint="default" w:ascii="Times New Roman" w:hAnsi="Times New Roman" w:cs="Times New Roman" w:eastAsiaTheme="minorEastAsia"/>
          <w:lang w:val="en-US" w:eastAsia="zh-CN"/>
        </w:rPr>
      </w:pPr>
      <w:r>
        <w:rPr>
          <w:rFonts w:hint="default" w:ascii="Times New Roman" w:hAnsi="Times New Roman" w:cs="Times New Roman"/>
        </w:rPr>
        <w:t>1. File name: custom</w:t>
      </w:r>
      <w:r>
        <w:rPr>
          <w:rFonts w:hint="eastAsia" w:ascii="Times New Roman" w:hAnsi="Times New Roman" w:cs="Times New Roman"/>
          <w:lang w:val="en-US" w:eastAsia="zh-CN"/>
        </w:rPr>
        <w:t>(English characters)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 xml:space="preserve"> </w:t>
      </w:r>
      <w:r>
        <w:rPr>
          <w:rFonts w:hint="default" w:ascii="Times New Roman" w:hAnsi="Times New Roman" w:cs="Times New Roman"/>
        </w:rPr>
        <w:t>Dimensionality reduction method: PCA (suitable for data matrix with a large number of samples)/PCoA (suitable for data matrix with a small number of samples)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3. Point size: custom</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4. Line thickness: custom</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5. Picture title: custom</w:t>
      </w:r>
      <w:r>
        <w:rPr>
          <w:rFonts w:hint="eastAsia" w:ascii="Times New Roman" w:hAnsi="Times New Roman" w:cs="Times New Roman"/>
          <w:lang w:val="en-US" w:eastAsia="zh-CN"/>
        </w:rPr>
        <w:t>(English characters)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lang w:val="en-US" w:eastAsia="zh-CN"/>
        </w:rPr>
        <w:t xml:space="preserve">6. </w:t>
      </w:r>
      <w:r>
        <w:rPr>
          <w:rFonts w:hint="default" w:ascii="Times New Roman" w:hAnsi="Times New Roman" w:cs="Times New Roman"/>
        </w:rPr>
        <w:t>Group color: custom (add the same color type as the number of groups)</w:t>
      </w:r>
    </w:p>
    <w:p>
      <w:pPr>
        <w:widowControl w:val="0"/>
        <w:numPr>
          <w:ilvl w:val="0"/>
          <w:numId w:val="0"/>
        </w:numPr>
        <w:ind w:leftChars="0"/>
        <w:jc w:val="both"/>
        <w:rPr>
          <w:rFonts w:hint="default" w:ascii="Times New Roman" w:hAnsi="Times New Roman" w:cs="Times New Roman"/>
        </w:rPr>
      </w:pP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b/>
          <w:bCs/>
        </w:rPr>
        <w:t xml:space="preserve">Output: </w:t>
      </w:r>
      <w:r>
        <w:rPr>
          <w:rFonts w:hint="default" w:ascii="Times New Roman" w:hAnsi="Times New Roman" w:cs="Times New Roman"/>
        </w:rPr>
        <w:t>After the analysis is completed, a compressed folder of drawing results will be provided for download, which contains the result images in PDF and PNG formats.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drawing>
          <wp:inline distT="0" distB="0" distL="114300" distR="114300">
            <wp:extent cx="2976880" cy="2567305"/>
            <wp:effectExtent l="0" t="0" r="1397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2976880" cy="2567305"/>
                    </a:xfrm>
                    <a:prstGeom prst="rect">
                      <a:avLst/>
                    </a:prstGeom>
                    <a:noFill/>
                    <a:ln>
                      <a:noFill/>
                    </a:ln>
                  </pic:spPr>
                </pic:pic>
              </a:graphicData>
            </a:graphic>
          </wp:inline>
        </w:drawing>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Interpretation of the results: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1) Different colors in the picture represent different groups;</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2) The point mapped on the main orthogonal axis is the sample point from File 1 PCA, represented by a solid circle, and the point mapped on the oblique orthogonal axis is the sample point from File 2 PCA, represented by a triangle ；</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3) The line indicates the paired samples of the two, the length of the line segment is the residual value between the two, the shorter the line segment, the smaller the residual value;</w:t>
      </w:r>
    </w:p>
    <w:p>
      <w:pPr>
        <w:widowControl w:val="0"/>
        <w:numPr>
          <w:ilvl w:val="0"/>
          <w:numId w:val="0"/>
        </w:numPr>
        <w:ind w:leftChars="0"/>
        <w:jc w:val="both"/>
        <w:rPr>
          <w:rFonts w:hint="default" w:ascii="Times New Roman" w:hAnsi="Times New Roman" w:cs="Times New Roman"/>
        </w:rPr>
      </w:pPr>
      <w:r>
        <w:rPr>
          <w:rFonts w:hint="default" w:ascii="Times New Roman" w:hAnsi="Times New Roman" w:cs="Times New Roman"/>
        </w:rPr>
        <w:t>4) M</w:t>
      </w:r>
      <w:r>
        <w:rPr>
          <w:rFonts w:hint="default" w:ascii="Times New Roman" w:hAnsi="Times New Roman" w:cs="Times New Roman"/>
          <w:vertAlign w:val="superscript"/>
        </w:rPr>
        <w:t>2</w:t>
      </w:r>
      <w:r>
        <w:rPr>
          <w:rFonts w:hint="default" w:ascii="Times New Roman" w:hAnsi="Times New Roman" w:cs="Times New Roman"/>
        </w:rPr>
        <w:t xml:space="preserve"> is the sum of the squares of the residual values. The smaller the M</w:t>
      </w:r>
      <w:r>
        <w:rPr>
          <w:rFonts w:hint="default" w:ascii="Times New Roman" w:hAnsi="Times New Roman" w:cs="Times New Roman"/>
          <w:vertAlign w:val="superscript"/>
        </w:rPr>
        <w:t>2</w:t>
      </w:r>
      <w:r>
        <w:rPr>
          <w:rFonts w:hint="default" w:ascii="Times New Roman" w:hAnsi="Times New Roman" w:cs="Times New Roman"/>
        </w:rPr>
        <w:t xml:space="preserve"> value, the better the consistency of the two sets of data. Use permutation test to calculate the M</w:t>
      </w:r>
      <w:r>
        <w:rPr>
          <w:rFonts w:hint="default" w:ascii="Times New Roman" w:hAnsi="Times New Roman" w:cs="Times New Roman"/>
          <w:vertAlign w:val="superscript"/>
        </w:rPr>
        <w:t>2</w:t>
      </w:r>
      <w:r>
        <w:rPr>
          <w:rFonts w:hint="default" w:ascii="Times New Roman" w:hAnsi="Times New Roman" w:cs="Times New Roman"/>
        </w:rPr>
        <w:t xml:space="preserve"> significance P value.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71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2020-12-28T08:59:11Z</dcterms:created>
  <dc:creator>yanjun Liu</dc:creator>
  <cp:lastModifiedBy>刘燕君。</cp:lastModifiedBy>
  <dcterms:modified xsi:type="dcterms:W3CDTF">2020-12-28T09:26:02Z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