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输入：带有表头的.txt文件，第1列为基因ID，第2-6列为基因在各样本中的表达量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g1：Group A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21285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g2：Group B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02311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1）分组颜色：默认配色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2）X轴标题：无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3）Y轴标题：gene expression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4）图片标题：无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5）散点：不展示</w:t>
      </w:r>
      <w:bookmarkStart w:id="1" w:name="_GoBack"/>
      <w:bookmarkEnd w:id="1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1）结果文件压缩包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10820"/>
            <wp:effectExtent l="0" t="0" r="7620" b="177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包含两个OS工具源文件，PDF和PNG格式结果图，excle统计结果表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1049020"/>
            <wp:effectExtent l="0" t="0" r="4445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2）结果图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088005" cy="2432685"/>
            <wp:effectExtent l="0" t="0" r="1714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3）结果表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336040"/>
            <wp:effectExtent l="0" t="0" r="444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74A23"/>
    <w:multiLevelType w:val="singleLevel"/>
    <w:tmpl w:val="D6074A23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3207C"/>
    <w:rsid w:val="44A76F85"/>
    <w:rsid w:val="4D6C67AE"/>
    <w:rsid w:val="6CF36F7D"/>
    <w:rsid w:val="72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2020-12-02T07:15:00Z</dcterms:created>
  <dc:creator>yanjun Liu</dc:creator>
  <cp:lastModifiedBy>刘燕君。</cp:lastModifiedBy>
  <dcterms:modified xsi:type="dcterms:W3CDTF">2020-12-07T09:11:05Z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