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>Function：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>Using the enrichment analysis results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  <w:t xml:space="preserve"> draw Dynamic enrichment difference 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1"/>
          <w:szCs w:val="21"/>
          <w:lang w:val="en-US" w:eastAsia="zh-CN"/>
        </w:rPr>
        <w:t>b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  <w:t>ubble plot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, </w:t>
      </w:r>
      <w:r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Contains four data types GO/KEGG/DO/Reactome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>Input：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Chars="0" w:right="0" w:rightChars="0"/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eastAsia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Format: The file must be a tab-separated .txt format file with a header. The name of the table is composed of letters, numbers, and underscores. The file name cannot have a suffix.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Chars="0" w:right="0" w:rightChars="0"/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Drawing method</w:t>
      </w:r>
      <w:r>
        <w:rPr>
          <w:rStyle w:val="5"/>
          <w:rFonts w:hint="eastAsia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：</w:t>
      </w:r>
      <w:r>
        <w:rPr>
          <w:rStyle w:val="5"/>
          <w:rFonts w:hint="eastAsia" w:ascii="Tahoma" w:hAnsi="Tahoma" w:eastAsia="宋体" w:cs="Tahoma"/>
          <w:b w:val="0"/>
          <w:bCs/>
          <w:i w:val="0"/>
          <w:caps w:val="0"/>
          <w:color w:val="0000FF"/>
          <w:spacing w:val="0"/>
          <w:sz w:val="18"/>
          <w:szCs w:val="18"/>
          <w:lang w:val="en-US" w:eastAsia="zh-CN"/>
        </w:rPr>
        <w:t>Read the data in the form of column numbers, specify that the fourth column is the number of up-regulated genes, the fifth column is the number of down-regulated genes, and the sixth column is the P/Q value. The first 20 rows of data with the smallest P/Q value are selected to draw a bubble chart.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Chars="0" w:right="0" w:rightChars="0"/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eastAsia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File types: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eastAsia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Type1: contains 6 columns of data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Column 1: Class I/Class 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Column 2: GO/KEGG/DO/Reactome comment ID number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Column 3: Term/Pathway name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Column 4: The number of differentially up-regulated genes belonging to this pathway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Column 5: The number of differentially down-regulated genes belonging to this pathway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Column 6: P value/Q value of enrichment analysis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default" w:ascii="Tahoma" w:hAnsi="Tahoma" w:eastAsia="宋体" w:cs="Tahoma"/>
          <w:b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Note:</w:t>
      </w:r>
      <w:r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In the final drawing, the abscissa </w:t>
      </w:r>
      <w:r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>up-down normalization</w:t>
      </w:r>
      <w:r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=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(number of differentially up-regulated genes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-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number of differentially down-regulated genes)/(number of differentially up-regulated genes + number of differentially down-regulated genes)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The table of four data types is shown below: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eastAsia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GO database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drawing>
          <wp:inline distT="0" distB="0" distL="114300" distR="114300">
            <wp:extent cx="3862070" cy="2207895"/>
            <wp:effectExtent l="0" t="0" r="5080" b="1905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20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eastAsia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KEGG database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drawing>
          <wp:inline distT="0" distB="0" distL="114300" distR="114300">
            <wp:extent cx="3895725" cy="2497455"/>
            <wp:effectExtent l="0" t="0" r="9525" b="1714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eastAsia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DO database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drawing>
          <wp:inline distT="0" distB="0" distL="114300" distR="114300">
            <wp:extent cx="3886835" cy="2540635"/>
            <wp:effectExtent l="0" t="0" r="18415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eastAsia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Reactome database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/>
          <w:lang w:val="en-US" w:eastAsia="zh-CN"/>
        </w:rPr>
      </w:pPr>
      <w:r>
        <w:drawing>
          <wp:inline distT="0" distB="0" distL="114300" distR="114300">
            <wp:extent cx="3772535" cy="2494915"/>
            <wp:effectExtent l="0" t="0" r="18415" b="63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eastAsia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Type2: Include more data information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Column 1: Class I/Class 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Column 2: GO/KEGG/DO/Reactome comment ID number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Column 3: Term/Pathway name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Column 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4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: The number of differentially up-regulated genes belonging to this pathway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Column 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5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: The number of differentially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down-regulated genes belonging to this pathway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Column 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6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: P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/Q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value of enrichment analysis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Column 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7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: Differentially up-regulated gene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s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ID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Column 8: Differentially down-regulated genes ID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Note: 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In the final drawing, the abscissa </w:t>
      </w:r>
      <w:r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>up-down normalization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=(number of differentially up-regulated genes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-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number of differentially down-regulated genes)/(number of differentially up-regulated genes + number of differentially down-regulated genes)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Style w:val="5"/>
          <w:rFonts w:hint="default" w:ascii="Tahoma" w:hAnsi="Tahoma" w:eastAsia="宋体" w:cs="Tahoma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The table is shown below: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drawing>
          <wp:inline distT="0" distB="0" distL="114300" distR="114300">
            <wp:extent cx="5273675" cy="2480310"/>
            <wp:effectExtent l="0" t="0" r="3175" b="1524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>Parameter</w:t>
      </w:r>
      <w:r>
        <w:rPr>
          <w:rStyle w:val="5"/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selection</w:t>
      </w: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>: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75" w:beforeAutospacing="0" w:after="75" w:afterAutospacing="0"/>
        <w:ind w:leftChars="0" w:right="0" w:rightChars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>Parameter: choose P-value or Q-value to draw bubble chart according to your needs. Choosing different parameters will affect the final graphical result;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75" w:beforeAutospacing="0" w:after="75" w:afterAutospacing="0"/>
        <w:ind w:left="0" w:leftChars="0" w:right="0" w:rightChars="0" w:firstLine="0" w:firstLineChars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>Type: Contains four enrichment analysis databases of GO, KO, DO, and Reactome. Choose the corresponding type according to the source of the table data. 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leftChars="0" w:right="0" w:rightChars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leftChars="0" w:right="0" w:rightChars="0"/>
        <w:rPr>
          <w:rFonts w:hint="eastAsia" w:ascii="Tahoma" w:hAnsi="Tahoma" w:eastAsia="宋体" w:cs="Tahoma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Parameter adjustment: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75" w:beforeAutospacing="0" w:after="75" w:afterAutospacing="0"/>
        <w:ind w:leftChars="0" w:right="0" w:rightChars="0"/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Graphic title: set or modify the title of the graphic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75" w:beforeAutospacing="0" w:after="75" w:afterAutospacing="0"/>
        <w:ind w:leftChars="0" w:right="0" w:rightChars="0"/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X/Y axis title: set or modify X/Y axis title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75" w:beforeAutospacing="0" w:after="75" w:afterAutospacing="0"/>
        <w:ind w:left="0" w:leftChars="0" w:right="0" w:rightChars="0" w:firstLine="0" w:firstLineChars="0"/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Transparency: Set the transparency of bubbles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75" w:beforeAutospacing="0" w:after="75" w:afterAutospacing="0"/>
        <w:ind w:left="0" w:leftChars="0" w:right="0" w:rightChars="0" w:firstLine="0" w:firstLineChars="0"/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Display ID/Bubble Stroke/Coordinate Scale Line/Graph Border/Legend/Grid Line: Set whether to display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75" w:beforeAutospacing="0" w:after="75" w:afterAutospacing="0"/>
        <w:ind w:left="0" w:leftChars="0" w:right="0" w:rightChars="0" w:firstLine="0" w:firstLineChars="0"/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Baseline modification: Customize the baseline color and thickness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leftChars="0" w:right="0" w:rightChars="0"/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6) Modification of bubble color: set the first level classification color of GO/KO/DO/Reactome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leftChars="0" w:right="0" w:rightChars="0"/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7) Modification of bubble size: set the size of the bubble in the graph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leftChars="0" w:right="0" w:rightChars="0"/>
        <w:rPr>
          <w:rFonts w:hint="default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Tahoma" w:hAnsi="Tahoma" w:eastAsia="宋体" w:cs="Tahoma"/>
          <w:b w:val="0"/>
          <w:bCs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8）Reset: restore the default settings of the picture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>Output：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 xml:space="preserve">The program will output the enrichment difference bubble 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plot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 xml:space="preserve"> as required, and the user can adjust the parameters according to personal needs. The result file can be downloaded in SVG and PNG formats.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Tahoma" w:hAnsi="Tahoma" w:eastAsia="宋体" w:cs="Tahoma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1"/>
          <w:szCs w:val="21"/>
          <w:lang w:eastAsia="zh-CN"/>
        </w:rPr>
        <w:drawing>
          <wp:inline distT="0" distB="0" distL="114300" distR="114300">
            <wp:extent cx="5267325" cy="2948940"/>
            <wp:effectExtent l="0" t="0" r="9525" b="3810"/>
            <wp:docPr id="3" name="图片 3" descr="示例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示例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>D</w:t>
      </w:r>
      <w:r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 xml:space="preserve">escription: 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>The ordinate is -log10 (Q/Pvalue), and the abscissa is the</w:t>
      </w:r>
      <w:r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>up-down normalization</w:t>
      </w:r>
      <w:r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  <w:t xml:space="preserve"> value (the ratio of the difference between the number of up-regulated genes and the number of down-regulated genes in the total differential genes); the yellow line represents the threshold of Q/Pvalue=0.05 ; On the right is the term/Pathway list with the top 20 Q/P values. Different colors represent different Ontology/A classes.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Tahoma" w:hAnsi="Tahoma" w:eastAsia="宋体" w:cs="Tahoma"/>
          <w:i w:val="0"/>
          <w:caps w:val="0"/>
          <w:color w:val="000000"/>
          <w:spacing w:val="0"/>
          <w:sz w:val="21"/>
          <w:szCs w:val="21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C0792"/>
    <w:multiLevelType w:val="singleLevel"/>
    <w:tmpl w:val="829C079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04BF66F"/>
    <w:multiLevelType w:val="singleLevel"/>
    <w:tmpl w:val="B04BF66F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C8E13709"/>
    <w:multiLevelType w:val="singleLevel"/>
    <w:tmpl w:val="C8E13709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6191B"/>
    <w:rsid w:val="265F1F1A"/>
    <w:rsid w:val="33DD4E27"/>
    <w:rsid w:val="385F1E3D"/>
    <w:rsid w:val="44FE634A"/>
    <w:rsid w:val="4CB02F57"/>
    <w:rsid w:val="4D96191B"/>
    <w:rsid w:val="4E7C0F6D"/>
    <w:rsid w:val="544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2020-09-14T11:28:00Z</dcterms:created>
  <dc:creator>刘燕君。</dc:creator>
  <cp:lastModifiedBy>刘燕君。</cp:lastModifiedBy>
  <dcterms:modified xsi:type="dcterms:W3CDTF">2020-10-22T10:17:02Z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